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Cash Handling and Financial Controls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Finance Lead / 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reduce financial risk and ensure transparent handling of cash.</w:t>
      </w:r>
    </w:p>
    <w:p>
      <w:pPr>
        <w:pStyle w:val="Heading1"/>
      </w:pPr>
      <w:r>
        <w:t>Scope</w:t>
      </w:r>
    </w:p>
    <w:p>
      <w:r>
        <w:t>Any petty cash, trip money, or venue cash income handled by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Cash movements must be documented, verified, and retained for audit purposes.</w:t>
      </w:r>
    </w:p>
    <w:p>
      <w:pPr>
        <w:pStyle w:val="ListBullet"/>
        <w:spacing w:after="40"/>
      </w:pPr>
      <w:r>
        <w:t>Separation of duties should be used where practical.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petty cash logs, receipt records, reconciliation checks, and secure storage.</w:t>
      </w:r>
    </w:p>
    <w:p>
      <w:pPr>
        <w:pStyle w:val="ListBullet"/>
        <w:spacing w:after="40"/>
      </w:pPr>
      <w:r>
        <w:t>Set approval levels and review arrangements for reimbursements or refunds paid in cash.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Discrepancies or concerns about cash handling must be reported to the finance lead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Petty cash log</w:t>
      </w:r>
    </w:p>
    <w:p>
      <w:pPr>
        <w:pStyle w:val="ListBullet"/>
        <w:spacing w:after="40"/>
      </w:pPr>
      <w:r>
        <w:t>Reconciliation sheet</w:t>
      </w:r>
    </w:p>
    <w:p>
      <w:pPr>
        <w:pStyle w:val="ListBullet"/>
        <w:spacing w:after="40"/>
      </w:pPr>
      <w:r>
        <w:t>Receipt record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Cash Handling and Financial Controls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